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lus Jakarta Sans" w:cs="Plus Jakarta Sans" w:eastAsia="Plus Jakarta Sans" w:hAnsi="Plus Jakarta Sans"/>
          <w:b w:val="1"/>
          <w:color w:val="ffffff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Plus Jakarta Sans" w:cs="Plus Jakarta Sans" w:eastAsia="Plus Jakarta Sans" w:hAnsi="Plus Jakarta Sans"/>
          <w:b w:val="1"/>
          <w:color w:val="ffffff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bookmarkStart w:colFirst="0" w:colLast="0" w:name="_heading=h.cz730irhh3c6" w:id="0"/>
      <w:bookmarkEnd w:id="0"/>
      <w:r w:rsidDel="00000000" w:rsidR="00000000" w:rsidRPr="00000000">
        <w:rPr>
          <w:rtl w:val="0"/>
        </w:rPr>
        <w:t xml:space="preserve">POLÍTICA DE SEGURANÇA DA INFORMAÇÃO E SEGURANÇA CIBERNÉTICA (LINHAS GERAIS)</w:t>
      </w:r>
    </w:p>
    <w:p w:rsidR="00000000" w:rsidDel="00000000" w:rsidP="00000000" w:rsidRDefault="00000000" w:rsidRPr="00000000" w14:paraId="00000004">
      <w:pPr>
        <w:pStyle w:val="Title"/>
        <w:rPr/>
      </w:pPr>
      <w:bookmarkStart w:colFirst="0" w:colLast="0" w:name="_heading=h.l57ggrlcsdn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 Light" w:cs="Roboto Light" w:eastAsia="Roboto Light" w:hAnsi="Roboto Ligh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rPr>
          <w:b w:val="1"/>
          <w:sz w:val="24"/>
          <w:szCs w:val="24"/>
        </w:rPr>
      </w:pPr>
      <w:bookmarkStart w:colFirst="0" w:colLast="0" w:name="_heading=h.6s1dzxydn1a9" w:id="2"/>
      <w:bookmarkEnd w:id="2"/>
      <w:r w:rsidDel="00000000" w:rsidR="00000000" w:rsidRPr="00000000">
        <w:rPr>
          <w:rtl w:val="0"/>
        </w:rPr>
        <w:t xml:space="preserve">onth •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sz w:val="16"/>
          <w:szCs w:val="16"/>
        </w:rPr>
      </w:pPr>
      <w:bookmarkStart w:colFirst="0" w:colLast="0" w:name="_heading=h.j0goecfbagxs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Table of Contents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spacing w:before="240" w:line="259" w:lineRule="auto"/>
        <w:rPr>
          <w:rFonts w:ascii="Roboto Light" w:cs="Roboto Light" w:eastAsia="Roboto Light" w:hAnsi="Roboto Light"/>
          <w:highlight w:val="white"/>
        </w:rPr>
      </w:pPr>
      <w:bookmarkStart w:colFirst="0" w:colLast="0" w:name="_heading=h.wkzh13hj3q3t" w:id="4"/>
      <w:bookmarkEnd w:id="4"/>
      <w:r w:rsidDel="00000000" w:rsidR="00000000" w:rsidRPr="00000000">
        <w:rPr>
          <w:rtl w:val="0"/>
        </w:rPr>
      </w:r>
    </w:p>
    <w:sdt>
      <w:sdtPr>
        <w:id w:val="168779573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9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Roboto Light" w:cs="Roboto Light" w:eastAsia="Roboto Light" w:hAnsi="Roboto Light"/>
              <w:highlight w:val="whit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r:id="rId7">
            <w:r w:rsidDel="00000000" w:rsidR="00000000" w:rsidRPr="00000000">
              <w:rPr>
                <w:rFonts w:ascii="Roboto Light" w:cs="Roboto Light" w:eastAsia="Roboto Light" w:hAnsi="Roboto Light"/>
                <w:highlight w:val="white"/>
                <w:rtl w:val="0"/>
              </w:rPr>
              <w:t xml:space="preserve">1. Introdução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Roboto Light" w:cs="Roboto Light" w:eastAsia="Roboto Light" w:hAnsi="Roboto Light"/>
              <w:highlight w:val="white"/>
            </w:rPr>
          </w:pPr>
          <w:hyperlink r:id="rId8">
            <w:r w:rsidDel="00000000" w:rsidR="00000000" w:rsidRPr="00000000">
              <w:rPr>
                <w:rFonts w:ascii="Roboto Light" w:cs="Roboto Light" w:eastAsia="Roboto Light" w:hAnsi="Roboto Light"/>
                <w:highlight w:val="white"/>
                <w:rtl w:val="0"/>
              </w:rPr>
              <w:t xml:space="preserve">2. Principais pontos</w:t>
            </w:r>
          </w:hyperlink>
          <w:r w:rsidDel="00000000" w:rsidR="00000000" w:rsidRPr="00000000">
            <w:rPr>
              <w:rtl w:val="0"/>
            </w:rPr>
            <w:t xml:space="preserve"> (Linhas Gerais)</w:t>
          </w:r>
          <w:hyperlink r:id="rId9">
            <w:r w:rsidDel="00000000" w:rsidR="00000000" w:rsidRPr="00000000">
              <w:rPr>
                <w:rFonts w:ascii="Roboto Light" w:cs="Roboto Light" w:eastAsia="Roboto Light" w:hAnsi="Roboto Light"/>
                <w:highlight w:val="white"/>
                <w:rtl w:val="0"/>
              </w:rPr>
              <w:tab/>
            </w:r>
          </w:hyperlink>
          <w:r w:rsidDel="00000000" w:rsidR="00000000" w:rsidRPr="00000000">
            <w:rPr>
              <w:rFonts w:ascii="Roboto Light" w:cs="Roboto Light" w:eastAsia="Roboto Light" w:hAnsi="Roboto Light"/>
              <w:highlight w:val="white"/>
              <w:rtl w:val="0"/>
            </w:rPr>
            <w:t xml:space="preserve">3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B">
      <w:pPr>
        <w:keepNext w:val="1"/>
        <w:keepLines w:val="1"/>
        <w:spacing w:after="60" w:line="276" w:lineRule="auto"/>
        <w:rPr>
          <w:color w:val="674ea7"/>
          <w:sz w:val="52"/>
          <w:szCs w:val="52"/>
          <w:highlight w:val="white"/>
        </w:rPr>
      </w:pPr>
      <w:bookmarkStart w:colFirst="0" w:colLast="0" w:name="_heading=h.o9jsomg0umgo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Roboto Light" w:cs="Roboto Light" w:eastAsia="Roboto Light" w:hAnsi="Roboto Ligh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Roboto Light" w:cs="Roboto Light" w:eastAsia="Roboto Light" w:hAnsi="Roboto Ligh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Roboto Light" w:cs="Roboto Light" w:eastAsia="Roboto Light" w:hAnsi="Roboto Ligh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1"/>
        <w:spacing w:after="120" w:before="400" w:line="276" w:lineRule="auto"/>
        <w:rPr>
          <w:color w:val="674ea7"/>
          <w:sz w:val="36"/>
          <w:szCs w:val="36"/>
        </w:rPr>
      </w:pPr>
      <w:bookmarkStart w:colFirst="0" w:colLast="0" w:name="_heading=h.4hepyruv0w0f" w:id="6"/>
      <w:bookmarkEnd w:id="6"/>
      <w:r w:rsidDel="00000000" w:rsidR="00000000" w:rsidRPr="00000000">
        <w:rPr>
          <w:color w:val="674ea7"/>
          <w:sz w:val="36"/>
          <w:szCs w:val="36"/>
          <w:rtl w:val="0"/>
        </w:rPr>
        <w:t xml:space="preserve">1. Introdução</w:t>
      </w:r>
    </w:p>
    <w:p w:rsidR="00000000" w:rsidDel="00000000" w:rsidP="00000000" w:rsidRDefault="00000000" w:rsidRPr="00000000" w14:paraId="00000026">
      <w:pPr>
        <w:spacing w:after="120" w:line="276" w:lineRule="auto"/>
        <w:ind w:firstLine="720"/>
        <w:jc w:val="both"/>
        <w:rPr>
          <w:rFonts w:ascii="Roboto Light" w:cs="Roboto Light" w:eastAsia="Roboto Light" w:hAnsi="Roboto Light"/>
          <w:highlight w:val="white"/>
        </w:rPr>
      </w:pPr>
      <w:r w:rsidDel="00000000" w:rsidR="00000000" w:rsidRPr="00000000">
        <w:rPr>
          <w:rFonts w:ascii="Roboto Light" w:cs="Roboto Light" w:eastAsia="Roboto Light" w:hAnsi="Roboto Light"/>
          <w:highlight w:val="white"/>
          <w:rtl w:val="0"/>
        </w:rPr>
        <w:t xml:space="preserve">A Política de Segurança da Informação e Segurança Cibernética da dLocal Brasil estabelece diretrizes para proteger informações e sistemas contra ameaças, assegurando confidencialidade, integridade e disponibilidade dos dados. </w:t>
      </w:r>
    </w:p>
    <w:p w:rsidR="00000000" w:rsidDel="00000000" w:rsidP="00000000" w:rsidRDefault="00000000" w:rsidRPr="00000000" w14:paraId="00000027">
      <w:pPr>
        <w:spacing w:after="120" w:line="276" w:lineRule="auto"/>
        <w:ind w:firstLine="720"/>
        <w:jc w:val="both"/>
        <w:rPr>
          <w:rFonts w:ascii="Roboto Light" w:cs="Roboto Light" w:eastAsia="Roboto Light" w:hAnsi="Roboto Light"/>
          <w:highlight w:val="white"/>
        </w:rPr>
      </w:pPr>
      <w:r w:rsidDel="00000000" w:rsidR="00000000" w:rsidRPr="00000000">
        <w:rPr>
          <w:rFonts w:ascii="Roboto Light" w:cs="Roboto Light" w:eastAsia="Roboto Light" w:hAnsi="Roboto Light"/>
          <w:highlight w:val="white"/>
          <w:rtl w:val="0"/>
        </w:rPr>
        <w:t xml:space="preserve">Aplica-se a todos os colaboradores, administradores e terceiros, e é revisada periodicamente para garantir aderência à legislação vigente e às melhores práticas.</w:t>
      </w:r>
    </w:p>
    <w:p w:rsidR="00000000" w:rsidDel="00000000" w:rsidP="00000000" w:rsidRDefault="00000000" w:rsidRPr="00000000" w14:paraId="00000028">
      <w:pPr>
        <w:spacing w:after="120" w:line="276" w:lineRule="auto"/>
        <w:ind w:firstLine="720"/>
        <w:jc w:val="both"/>
        <w:rPr>
          <w:rFonts w:ascii="Roboto Light" w:cs="Roboto Light" w:eastAsia="Roboto Light" w:hAnsi="Roboto Ligh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1"/>
        <w:spacing w:after="120" w:before="400" w:line="276" w:lineRule="auto"/>
        <w:rPr>
          <w:color w:val="674ea7"/>
          <w:sz w:val="36"/>
          <w:szCs w:val="36"/>
        </w:rPr>
      </w:pPr>
      <w:bookmarkStart w:colFirst="0" w:colLast="0" w:name="_heading=h.yo584twabr4p" w:id="7"/>
      <w:bookmarkEnd w:id="7"/>
      <w:r w:rsidDel="00000000" w:rsidR="00000000" w:rsidRPr="00000000">
        <w:rPr>
          <w:color w:val="674ea7"/>
          <w:sz w:val="36"/>
          <w:szCs w:val="36"/>
          <w:rtl w:val="0"/>
        </w:rPr>
        <w:t xml:space="preserve">2. </w:t>
      </w:r>
      <w:r w:rsidDel="00000000" w:rsidR="00000000" w:rsidRPr="00000000">
        <w:rPr>
          <w:color w:val="674ea7"/>
          <w:sz w:val="32"/>
          <w:szCs w:val="32"/>
          <w:rtl w:val="0"/>
        </w:rPr>
        <w:t xml:space="preserve">Principais Pontos (Linhas Gerais)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Roboto Light" w:cs="Roboto Light" w:eastAsia="Roboto Light" w:hAnsi="Roboto Light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0"/>
        </w:rPr>
        <w:t xml:space="preserve">Objetivos</w:t>
      </w:r>
      <w:r w:rsidDel="00000000" w:rsidR="00000000" w:rsidRPr="00000000">
        <w:rPr>
          <w:rFonts w:ascii="Roboto Light" w:cs="Roboto Light" w:eastAsia="Roboto Light" w:hAnsi="Roboto Light"/>
          <w:highlight w:val="white"/>
          <w:rtl w:val="0"/>
        </w:rPr>
        <w:t xml:space="preserve">: Proteger ativos de informação, mitigar riscos cibernéticos e garantir a continuidade dos serviços essenciais.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Roboto Light" w:cs="Roboto Light" w:eastAsia="Roboto Light" w:hAnsi="Roboto Light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0"/>
        </w:rPr>
        <w:t xml:space="preserve">Controles e Procedimentos</w:t>
      </w:r>
      <w:r w:rsidDel="00000000" w:rsidR="00000000" w:rsidRPr="00000000">
        <w:rPr>
          <w:rFonts w:ascii="Roboto Light" w:cs="Roboto Light" w:eastAsia="Roboto Light" w:hAnsi="Roboto Light"/>
          <w:highlight w:val="white"/>
          <w:rtl w:val="0"/>
        </w:rPr>
        <w:t xml:space="preserve">: Incluem gestão de ativos, autenticação baseada no menor privilégio, segmentação de redes, classificação da informação (pública, interna, restrita, confidencial), controle de acesso, backup, proteção contra softwares maliciosos, testes de vulnerabilidade e criptografia conforme padrões regulatórios.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Roboto Light" w:cs="Roboto Light" w:eastAsia="Roboto Light" w:hAnsi="Roboto Light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0"/>
        </w:rPr>
        <w:t xml:space="preserve">Rastreabilidade e Segurança de Informações Sensíveis</w:t>
      </w:r>
      <w:r w:rsidDel="00000000" w:rsidR="00000000" w:rsidRPr="00000000">
        <w:rPr>
          <w:rFonts w:ascii="Roboto Light" w:cs="Roboto Light" w:eastAsia="Roboto Light" w:hAnsi="Roboto Light"/>
          <w:highlight w:val="white"/>
          <w:rtl w:val="0"/>
        </w:rPr>
        <w:t xml:space="preserve">: Implementação de logs protegidos e mecanismos para rastrear acessos e alterações, especialmente em dados sensíveis.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Roboto Light" w:cs="Roboto Light" w:eastAsia="Roboto Light" w:hAnsi="Roboto Light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0"/>
        </w:rPr>
        <w:t xml:space="preserve">Gestão de Incidentes</w:t>
      </w:r>
      <w:r w:rsidDel="00000000" w:rsidR="00000000" w:rsidRPr="00000000">
        <w:rPr>
          <w:rFonts w:ascii="Roboto Light" w:cs="Roboto Light" w:eastAsia="Roboto Light" w:hAnsi="Roboto Light"/>
          <w:highlight w:val="white"/>
          <w:rtl w:val="0"/>
        </w:rPr>
        <w:t xml:space="preserve">: Registro, análise e controle de incidentes relevantes, com classificação por impacto e comunicação imediata aos responsáveis. Relatórios anuais são apresentados à alta administração.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Roboto Light" w:cs="Roboto Light" w:eastAsia="Roboto Light" w:hAnsi="Roboto Light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0"/>
        </w:rPr>
        <w:t xml:space="preserve">Continuidade e Terceiros</w:t>
      </w:r>
      <w:r w:rsidDel="00000000" w:rsidR="00000000" w:rsidRPr="00000000">
        <w:rPr>
          <w:rFonts w:ascii="Roboto Light" w:cs="Roboto Light" w:eastAsia="Roboto Light" w:hAnsi="Roboto Light"/>
          <w:highlight w:val="white"/>
          <w:rtl w:val="0"/>
        </w:rPr>
        <w:t xml:space="preserve">: Elaboração de cenários de incidentes para testes de continuidade, definição de controles para terceiros que tratam dados sensíveis, e requisitos específicos para contratação de serviços de processamento e armazenamento, inclusive em nuvem e no exterior, com comunicação ao Bacen quando aplicável.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Roboto Light" w:cs="Roboto Light" w:eastAsia="Roboto Light" w:hAnsi="Roboto Light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0"/>
        </w:rPr>
        <w:t xml:space="preserve">Cultura de Segurança</w:t>
      </w:r>
      <w:r w:rsidDel="00000000" w:rsidR="00000000" w:rsidRPr="00000000">
        <w:rPr>
          <w:rFonts w:ascii="Roboto Light" w:cs="Roboto Light" w:eastAsia="Roboto Light" w:hAnsi="Roboto Light"/>
          <w:highlight w:val="white"/>
          <w:rtl w:val="0"/>
        </w:rPr>
        <w:t xml:space="preserve">: Programas de capacitação, conscientização e avaliação periódica de pessoal, além de informações a usuários finais sobre precauções no uso de produtos e serviços. A alta administração é responsável por promover melhorias contínuas.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Roboto Light" w:cs="Roboto Light" w:eastAsia="Roboto Light" w:hAnsi="Roboto Light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0"/>
        </w:rPr>
        <w:t xml:space="preserve">Compartilhamento de Informações</w:t>
      </w:r>
      <w:r w:rsidDel="00000000" w:rsidR="00000000" w:rsidRPr="00000000">
        <w:rPr>
          <w:rFonts w:ascii="Roboto Light" w:cs="Roboto Light" w:eastAsia="Roboto Light" w:hAnsi="Roboto Light"/>
          <w:highlight w:val="white"/>
          <w:rtl w:val="0"/>
        </w:rPr>
        <w:t xml:space="preserve">: Iniciativas para compartilhar informações sobre incidentes relevantes com instituições autorizadas pelo Bacen, respeitando sigilo e concorrência.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Roboto Light" w:cs="Roboto Light" w:eastAsia="Roboto Light" w:hAnsi="Roboto Light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0"/>
        </w:rPr>
        <w:t xml:space="preserve">Acompanhamento e Arquivamento</w:t>
      </w:r>
      <w:r w:rsidDel="00000000" w:rsidR="00000000" w:rsidRPr="00000000">
        <w:rPr>
          <w:rFonts w:ascii="Roboto Light" w:cs="Roboto Light" w:eastAsia="Roboto Light" w:hAnsi="Roboto Light"/>
          <w:highlight w:val="white"/>
          <w:rtl w:val="0"/>
        </w:rPr>
        <w:t xml:space="preserve">: Mecanismos de controle, auditoria e métricas para garantir a efetividade da política, com arquivamento de documentos e registros por pelo menos cinco anos.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40" w:line="276" w:lineRule="auto"/>
        <w:ind w:left="720" w:hanging="360"/>
        <w:jc w:val="both"/>
        <w:rPr>
          <w:rFonts w:ascii="Roboto Light" w:cs="Roboto Light" w:eastAsia="Roboto Light" w:hAnsi="Roboto Light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0"/>
        </w:rPr>
        <w:t xml:space="preserve">Responsabilidades</w:t>
      </w:r>
      <w:r w:rsidDel="00000000" w:rsidR="00000000" w:rsidRPr="00000000">
        <w:rPr>
          <w:rFonts w:ascii="Roboto Light" w:cs="Roboto Light" w:eastAsia="Roboto Light" w:hAnsi="Roboto Light"/>
          <w:highlight w:val="white"/>
          <w:rtl w:val="0"/>
        </w:rPr>
        <w:t xml:space="preserve">: Todos os colaboradores e terceiros devem aderir formalmente à política, comprometendo-se com suas diretrizes.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440" w:top="288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us Jakarta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ind w:right="210"/>
      <w:jc w:val="right"/>
      <w:rPr>
        <w:rFonts w:ascii="Plus Jakarta Sans" w:cs="Plus Jakarta Sans" w:eastAsia="Plus Jakarta Sans" w:hAnsi="Plus Jakarta Sans"/>
        <w:b w:val="1"/>
        <w:color w:val="ffffff"/>
      </w:rPr>
    </w:pPr>
    <w:r w:rsidDel="00000000" w:rsidR="00000000" w:rsidRPr="00000000">
      <w:rPr>
        <w:rFonts w:ascii="Plus Jakarta Sans" w:cs="Plus Jakarta Sans" w:eastAsia="Plus Jakarta Sans" w:hAnsi="Plus Jakarta Sans"/>
        <w:b w:val="1"/>
        <w:color w:val="ffffff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>
        <w:rFonts w:ascii="Roboto Light" w:cs="Roboto Light" w:eastAsia="Roboto Light" w:hAnsi="Roboto Light"/>
        <w:i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3442</wp:posOffset>
          </wp:positionH>
          <wp:positionV relativeFrom="page">
            <wp:posOffset>0</wp:posOffset>
          </wp:positionV>
          <wp:extent cx="7564170" cy="10696807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7" r="7" t="0"/>
                  <a:stretch>
                    <a:fillRect/>
                  </a:stretch>
                </pic:blipFill>
                <pic:spPr>
                  <a:xfrm>
                    <a:off x="0" y="0"/>
                    <a:ext cx="7564170" cy="106968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702801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7" l="0" r="0" t="18"/>
                  <a:stretch>
                    <a:fillRect/>
                  </a:stretch>
                </pic:blipFill>
                <pic:spPr>
                  <a:xfrm>
                    <a:off x="0" y="0"/>
                    <a:ext cx="7572375" cy="1070280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Plus Jakarta Sans" w:cs="Plus Jakarta Sans" w:eastAsia="Plus Jakarta Sans" w:hAnsi="Plus Jakarta Sans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Roboto" w:cs="Roboto" w:eastAsia="Roboto" w:hAnsi="Roboto"/>
      <w:color w:val="ffff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Plus Jakarta Sans" w:cs="Plus Jakarta Sans" w:eastAsia="Plus Jakarta Sans" w:hAnsi="Plus Jakarta Sans"/>
      <w:b w:val="1"/>
      <w:color w:val="ffffff"/>
      <w:sz w:val="96"/>
      <w:szCs w:val="9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Roboto" w:cs="Roboto" w:eastAsia="Roboto" w:hAnsi="Roboto"/>
      <w:b w:val="1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BtPNkBjYZFAnqK26MFFt90f0U9j9VDx8/edit#heading=h.wce7sfobcel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BtPNkBjYZFAnqK26MFFt90f0U9j9VDx8/edit#heading=h.3dy6vkm" TargetMode="External"/><Relationship Id="rId8" Type="http://schemas.openxmlformats.org/officeDocument/2006/relationships/hyperlink" Target="https://docs.google.com/document/d/1BtPNkBjYZFAnqK26MFFt90f0U9j9VDx8/edit#heading=h.17dp8v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RobotoLight-italic.ttf"/><Relationship Id="rId10" Type="http://schemas.openxmlformats.org/officeDocument/2006/relationships/font" Target="fonts/RobotoLight-bold.ttf"/><Relationship Id="rId12" Type="http://schemas.openxmlformats.org/officeDocument/2006/relationships/font" Target="fonts/RobotoLight-boldItalic.ttf"/><Relationship Id="rId9" Type="http://schemas.openxmlformats.org/officeDocument/2006/relationships/font" Target="fonts/RobotoLight-regular.ttf"/><Relationship Id="rId5" Type="http://schemas.openxmlformats.org/officeDocument/2006/relationships/font" Target="fonts/PlusJakartaSans-regular.ttf"/><Relationship Id="rId6" Type="http://schemas.openxmlformats.org/officeDocument/2006/relationships/font" Target="fonts/PlusJakartaSans-bold.ttf"/><Relationship Id="rId7" Type="http://schemas.openxmlformats.org/officeDocument/2006/relationships/font" Target="fonts/PlusJakartaSans-italic.ttf"/><Relationship Id="rId8" Type="http://schemas.openxmlformats.org/officeDocument/2006/relationships/font" Target="fonts/PlusJakarta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Eq2nXAvP430eMLDP2cbi32FMA==">CgMxLjAyDmguY3o3MzBpcmhoM2M2Mg5oLmw1N2dncmxjc2RuNTIOaC42czFkenh5ZG4xYTkyDmguajBnb2VjZmJhZ3hzMg5oLndremgxM2hqM3EzdDIOaC5vOWpzb21nMHVtZ28yDmguNGhlcHlydXYwdzBmMg5oLnlvNTg0dHdhYnI0cDgAciExWVJaTEM4VmM1bXhpSEJtS1owd01hUFpQMG1Yc3FyWjQ=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